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BF" w:rsidRDefault="00C45CBF" w:rsidP="00C45CBF">
      <w:pPr>
        <w:tabs>
          <w:tab w:val="left" w:pos="142"/>
        </w:tabs>
        <w:spacing w:line="36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Общая информация</w:t>
      </w:r>
    </w:p>
    <w:p w:rsidR="00E6735A" w:rsidRDefault="00C45CBF" w:rsidP="00C45CBF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BF">
        <w:rPr>
          <w:rStyle w:val="a3"/>
          <w:rFonts w:ascii="Times New Roman" w:hAnsi="Times New Roman" w:cs="Times New Roman"/>
          <w:sz w:val="24"/>
          <w:szCs w:val="24"/>
        </w:rPr>
        <w:t>Коммерческий учет электрической энергии (мощности)</w:t>
      </w:r>
      <w:r w:rsidRPr="00C45CBF">
        <w:rPr>
          <w:rFonts w:ascii="Times New Roman" w:hAnsi="Times New Roman" w:cs="Times New Roman"/>
          <w:sz w:val="24"/>
          <w:szCs w:val="24"/>
        </w:rPr>
        <w:t xml:space="preserve"> - процесс измерения количества электрической энергии и определения объема мощности, сбора, хранения, обработки, передачи результатов этих измерений и формирования, в том числе расчетным путем, данных о количестве произведенной и потребленной электрической энергии (мощности) для целей взаиморасчетов за поставленные электрическую энергию и мощность, а также за связанные с указанными поставками услуги</w:t>
      </w:r>
      <w:proofErr w:type="gramStart"/>
      <w:r w:rsidRPr="00C45C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CB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5C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5CBF">
        <w:rPr>
          <w:rFonts w:ascii="Times New Roman" w:hAnsi="Times New Roman" w:cs="Times New Roman"/>
          <w:sz w:val="24"/>
          <w:szCs w:val="24"/>
        </w:rPr>
        <w:t xml:space="preserve">т. 3, Федеральный закон от 26.03.2003 </w:t>
      </w:r>
      <w:proofErr w:type="gramStart"/>
      <w:r w:rsidRPr="00C45CBF">
        <w:rPr>
          <w:rFonts w:ascii="Times New Roman" w:hAnsi="Times New Roman" w:cs="Times New Roman"/>
          <w:sz w:val="24"/>
          <w:szCs w:val="24"/>
        </w:rPr>
        <w:t>N 35-ФЗ "Об электроэнергетике")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5CBF" w:rsidRDefault="00C45CBF" w:rsidP="00C45CBF">
      <w:pPr>
        <w:pStyle w:val="a4"/>
        <w:spacing w:line="360" w:lineRule="auto"/>
        <w:ind w:firstLine="567"/>
        <w:jc w:val="both"/>
      </w:pPr>
      <w:proofErr w:type="gramStart"/>
      <w:r>
        <w:t>Гарантирующие поставщики и сетевые организации обеспечивают коммерческий учет электрической энергии (мощности) на розничных рынках, в том числе путем приобретения, установки, замены, допуска в эксплуатацию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(мощности), и последующей их эксплуатации, в том числе посредством интеллектуальных систем учета электрической энергии (мощности):</w:t>
      </w:r>
      <w:proofErr w:type="gramEnd"/>
    </w:p>
    <w:p w:rsidR="00C45CBF" w:rsidRDefault="00C45CBF" w:rsidP="00C45CBF">
      <w:pPr>
        <w:pStyle w:val="a4"/>
        <w:spacing w:line="360" w:lineRule="auto"/>
        <w:ind w:firstLine="567"/>
        <w:jc w:val="both"/>
      </w:pPr>
      <w:r>
        <w:t>при отсутствии, выходе из строя, утрате, истечении срока эксплуатации или истечении интервала между поверками приборов учета электрической энергии и (или) иного оборудования, которые используются для коммерческого учета электрической энергии (мощности), в том числе не принадлежащих сетевой организации (гарантирующему поставщику);</w:t>
      </w:r>
    </w:p>
    <w:p w:rsidR="00C45CBF" w:rsidRDefault="00C45CBF" w:rsidP="00C45CBF">
      <w:pPr>
        <w:pStyle w:val="a4"/>
        <w:spacing w:line="360" w:lineRule="auto"/>
        <w:ind w:firstLine="567"/>
        <w:jc w:val="both"/>
      </w:pPr>
      <w:proofErr w:type="gramStart"/>
      <w:r>
        <w:t xml:space="preserve">в процессе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(объектов электросетевого хозяйства, объектов по производству электрической энергии (мощности), за исключением установленных Федеральным законом "Об электроэнергетике" случаев оснащения вводимых в эксплуатацию многоквартирных жилых домов индивидуальными, общими (для коммунальной квартиры) и коллективными (общедомовыми) приборами учета электрической энергии, которые обеспечивают возможность их присоединения к интеллектуальным системам учета электрической энергии (мощности).</w:t>
      </w:r>
      <w:proofErr w:type="gramEnd"/>
    </w:p>
    <w:p w:rsidR="00C45CBF" w:rsidRDefault="00C45CBF" w:rsidP="00C45CBF">
      <w:pPr>
        <w:pStyle w:val="a4"/>
        <w:spacing w:line="360" w:lineRule="auto"/>
        <w:ind w:firstLine="567"/>
        <w:jc w:val="both"/>
      </w:pPr>
      <w:proofErr w:type="gramStart"/>
      <w:r>
        <w:t xml:space="preserve">Сетевые организации обеспечивают коммерческий учет электрической энергии (мощности)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хозяйства,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 (мощности) (за исключением установки и замены коллективных (общедомовых) приборов учета электрической энергии), приобретающих электрическую энергию на розничных рынках, объектов по производству электрической энергии (мощности) на розничных рынках и</w:t>
      </w:r>
      <w:proofErr w:type="gramEnd"/>
      <w:r>
        <w:t xml:space="preserve"> объектов электросетевого хозяйства.</w:t>
      </w:r>
    </w:p>
    <w:p w:rsidR="00C45CBF" w:rsidRDefault="00C45CBF" w:rsidP="00C45CBF">
      <w:pPr>
        <w:pStyle w:val="a4"/>
        <w:spacing w:line="360" w:lineRule="auto"/>
        <w:ind w:firstLine="567"/>
        <w:jc w:val="both"/>
      </w:pPr>
      <w:proofErr w:type="gramStart"/>
      <w:r>
        <w:lastRenderedPageBreak/>
        <w:t>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организации, если иное не установлено соглашением между такими сетевыми организациями, возлагаются на ту сетевую организацию, центры пи</w:t>
      </w:r>
      <w:bookmarkStart w:id="0" w:name="_GoBack"/>
      <w:bookmarkEnd w:id="0"/>
      <w:r>
        <w:t>тания которой по отношению к такой точке присоединения имеют более высокий класс напряжения, а при равенстве классов напряжения центров питания - на сетевую организацию, чей объект</w:t>
      </w:r>
      <w:proofErr w:type="gramEnd"/>
      <w:r>
        <w:t xml:space="preserve"> электросетевого хозяйства, в котором имеется техническая возможность установки прибора учета, находится ближе к точке присоединения.</w:t>
      </w:r>
    </w:p>
    <w:p w:rsidR="00C45CBF" w:rsidRDefault="00C45CBF" w:rsidP="00C45CBF">
      <w:pPr>
        <w:pStyle w:val="a4"/>
        <w:spacing w:line="360" w:lineRule="auto"/>
        <w:ind w:firstLine="567"/>
        <w:jc w:val="both"/>
      </w:pPr>
      <w:r>
        <w:t>Гарантирующие поставщики обеспечивают коммерческий учет электрической энергии (мощности) на розничных рынках в отношении расположенных в их зоне деятельности многоквартирных домов (за исключением помещений многоквартирных домов, электроснабжение которых осуществляется без использования общего имущества), включая установку коллективных (общедомовых) приборов учета электрической энергии.</w:t>
      </w:r>
    </w:p>
    <w:p w:rsidR="00C45CBF" w:rsidRPr="00C45CBF" w:rsidRDefault="00C45CBF" w:rsidP="00C45CBF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45CBF" w:rsidRPr="00C45CBF" w:rsidSect="00C45C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BF"/>
    <w:rsid w:val="00C45CBF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5CBF"/>
    <w:rPr>
      <w:b/>
      <w:bCs/>
    </w:rPr>
  </w:style>
  <w:style w:type="paragraph" w:styleId="a4">
    <w:name w:val="Normal (Web)"/>
    <w:basedOn w:val="a"/>
    <w:uiPriority w:val="99"/>
    <w:semiHidden/>
    <w:unhideWhenUsed/>
    <w:rsid w:val="00C4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5CBF"/>
    <w:rPr>
      <w:b/>
      <w:bCs/>
    </w:rPr>
  </w:style>
  <w:style w:type="paragraph" w:styleId="a4">
    <w:name w:val="Normal (Web)"/>
    <w:basedOn w:val="a"/>
    <w:uiPriority w:val="99"/>
    <w:semiHidden/>
    <w:unhideWhenUsed/>
    <w:rsid w:val="00C4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2022-08-22T03:29:00Z</dcterms:created>
  <dcterms:modified xsi:type="dcterms:W3CDTF">2022-08-22T03:32:00Z</dcterms:modified>
</cp:coreProperties>
</file>